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8114" w14:textId="60B0721C" w:rsidR="000E0858" w:rsidRDefault="000E0858" w:rsidP="000E0858">
      <w:pPr>
        <w:pStyle w:val="xxxmsonormal"/>
        <w:shd w:val="clear" w:color="auto" w:fill="FFFFFF"/>
        <w:spacing w:before="0" w:beforeAutospacing="0" w:after="0" w:afterAutospacing="0"/>
        <w:jc w:val="center"/>
        <w:rPr>
          <w:rFonts w:ascii="inherit" w:hAnsi="inherit"/>
          <w:b/>
          <w:bCs/>
          <w:color w:val="242424"/>
          <w:sz w:val="22"/>
          <w:szCs w:val="22"/>
          <w:bdr w:val="none" w:sz="0" w:space="0" w:color="auto" w:frame="1"/>
        </w:rPr>
      </w:pPr>
      <w:r>
        <w:rPr>
          <w:rFonts w:ascii="inherit" w:hAnsi="inherit"/>
          <w:b/>
          <w:bCs/>
          <w:color w:val="242424"/>
          <w:sz w:val="22"/>
          <w:szCs w:val="22"/>
          <w:bdr w:val="none" w:sz="0" w:space="0" w:color="auto" w:frame="1"/>
        </w:rPr>
        <w:t>New Cybersecurity Requirements</w:t>
      </w:r>
    </w:p>
    <w:p w14:paraId="1CE6806A" w14:textId="77777777" w:rsidR="00476E48" w:rsidRDefault="00476E48" w:rsidP="001D42E4">
      <w:pPr>
        <w:pStyle w:val="xxxmsonormal"/>
        <w:shd w:val="clear" w:color="auto" w:fill="FFFFFF"/>
        <w:spacing w:before="0" w:beforeAutospacing="0" w:after="0" w:afterAutospacing="0"/>
        <w:rPr>
          <w:rFonts w:ascii="inherit" w:hAnsi="inherit"/>
          <w:b/>
          <w:bCs/>
          <w:color w:val="242424"/>
          <w:sz w:val="22"/>
          <w:szCs w:val="22"/>
          <w:bdr w:val="none" w:sz="0" w:space="0" w:color="auto" w:frame="1"/>
        </w:rPr>
      </w:pPr>
    </w:p>
    <w:p w14:paraId="797703CB" w14:textId="7E2F7057" w:rsidR="001D42E4" w:rsidRDefault="001D42E4" w:rsidP="001D42E4">
      <w:pPr>
        <w:pStyle w:val="xxxmsonormal"/>
        <w:shd w:val="clear" w:color="auto" w:fill="FFFFFF"/>
        <w:spacing w:before="0" w:beforeAutospacing="0" w:after="0" w:afterAutospacing="0"/>
        <w:rPr>
          <w:rFonts w:ascii="Aptos" w:hAnsi="Aptos"/>
          <w:color w:val="242424"/>
        </w:rPr>
      </w:pPr>
      <w:r>
        <w:rPr>
          <w:rFonts w:ascii="inherit" w:hAnsi="inherit"/>
          <w:b/>
          <w:bCs/>
          <w:color w:val="242424"/>
          <w:sz w:val="22"/>
          <w:szCs w:val="22"/>
          <w:bdr w:val="none" w:sz="0" w:space="0" w:color="auto" w:frame="1"/>
        </w:rPr>
        <w:t>Cybersecurity Incident Reporting</w:t>
      </w:r>
    </w:p>
    <w:p w14:paraId="60E3DFAA" w14:textId="60DEA125" w:rsidR="001D42E4" w:rsidRDefault="001D42E4" w:rsidP="001D42E4">
      <w:pPr>
        <w:pStyle w:val="xxxmsonormal"/>
        <w:shd w:val="clear" w:color="auto" w:fill="FFFFFF"/>
        <w:spacing w:before="0" w:beforeAutospacing="0" w:after="0" w:afterAutospacing="0"/>
        <w:rPr>
          <w:rFonts w:ascii="Aptos" w:hAnsi="Aptos"/>
          <w:color w:val="242424"/>
        </w:rPr>
      </w:pPr>
      <w:r>
        <w:rPr>
          <w:rFonts w:ascii="inherit" w:hAnsi="inherit"/>
          <w:b/>
          <w:bCs/>
          <w:color w:val="242424"/>
          <w:sz w:val="22"/>
          <w:szCs w:val="22"/>
          <w:bdr w:val="none" w:sz="0" w:space="0" w:color="auto" w:frame="1"/>
        </w:rPr>
        <w:t> </w:t>
      </w:r>
      <w:r>
        <w:rPr>
          <w:rFonts w:ascii="inherit" w:hAnsi="inherit"/>
          <w:color w:val="242424"/>
          <w:sz w:val="22"/>
          <w:szCs w:val="22"/>
          <w:bdr w:val="none" w:sz="0" w:space="0" w:color="auto" w:frame="1"/>
        </w:rPr>
        <w:t xml:space="preserve">Beginning </w:t>
      </w:r>
      <w:r w:rsidRPr="000E0858">
        <w:rPr>
          <w:rFonts w:ascii="inherit" w:hAnsi="inherit"/>
          <w:b/>
          <w:bCs/>
          <w:color w:val="EE0000"/>
          <w:sz w:val="22"/>
          <w:szCs w:val="22"/>
          <w:bdr w:val="none" w:sz="0" w:space="0" w:color="auto" w:frame="1"/>
        </w:rPr>
        <w:t>March 26, 2026,</w:t>
      </w:r>
      <w:r w:rsidRPr="000E0858">
        <w:rPr>
          <w:rFonts w:ascii="inherit" w:hAnsi="inherit"/>
          <w:color w:val="EE0000"/>
          <w:sz w:val="22"/>
          <w:szCs w:val="22"/>
          <w:bdr w:val="none" w:sz="0" w:space="0" w:color="auto" w:frame="1"/>
        </w:rPr>
        <w:t xml:space="preserve"> </w:t>
      </w:r>
      <w:r>
        <w:rPr>
          <w:rFonts w:ascii="inherit" w:hAnsi="inherit"/>
          <w:color w:val="242424"/>
          <w:sz w:val="22"/>
          <w:szCs w:val="22"/>
          <w:bdr w:val="none" w:sz="0" w:space="0" w:color="auto" w:frame="1"/>
        </w:rPr>
        <w:t>all State Pollutant Discharge Elimination System (SPDES) permittees, both publicly and privately owned, </w:t>
      </w:r>
      <w:r>
        <w:rPr>
          <w:rFonts w:ascii="inherit" w:hAnsi="inherit"/>
          <w:b/>
          <w:bCs/>
          <w:color w:val="242424"/>
          <w:sz w:val="22"/>
          <w:szCs w:val="22"/>
          <w:bdr w:val="none" w:sz="0" w:space="0" w:color="auto" w:frame="1"/>
        </w:rPr>
        <w:t xml:space="preserve">must report all cybersecurity incidents to DEC within </w:t>
      </w:r>
      <w:r w:rsidR="000E0858">
        <w:rPr>
          <w:rFonts w:ascii="inherit" w:hAnsi="inherit"/>
          <w:b/>
          <w:bCs/>
          <w:color w:val="242424"/>
          <w:sz w:val="22"/>
          <w:szCs w:val="22"/>
          <w:bdr w:val="none" w:sz="0" w:space="0" w:color="auto" w:frame="1"/>
        </w:rPr>
        <w:t>24 hours</w:t>
      </w:r>
      <w:r>
        <w:rPr>
          <w:rFonts w:ascii="inherit" w:hAnsi="inherit"/>
          <w:b/>
          <w:bCs/>
          <w:color w:val="242424"/>
          <w:sz w:val="22"/>
          <w:szCs w:val="22"/>
          <w:bdr w:val="none" w:sz="0" w:space="0" w:color="auto" w:frame="1"/>
        </w:rPr>
        <w:t xml:space="preserve"> of becoming aware of the incident</w:t>
      </w:r>
      <w:r>
        <w:rPr>
          <w:rFonts w:ascii="inherit" w:hAnsi="inherit"/>
          <w:color w:val="242424"/>
          <w:sz w:val="22"/>
          <w:szCs w:val="22"/>
          <w:bdr w:val="none" w:sz="0" w:space="0" w:color="auto" w:frame="1"/>
        </w:rPr>
        <w:t>. Please refer to the attached flyer entitled “</w:t>
      </w:r>
      <w:r>
        <w:rPr>
          <w:rFonts w:ascii="inherit" w:hAnsi="inherit"/>
          <w:i/>
          <w:iCs/>
          <w:color w:val="242424"/>
          <w:sz w:val="22"/>
          <w:szCs w:val="22"/>
          <w:bdr w:val="none" w:sz="0" w:space="0" w:color="auto" w:frame="1"/>
        </w:rPr>
        <w:t>How to Report a Wastewater Cybersecurity Incident to DEC</w:t>
      </w:r>
      <w:r>
        <w:rPr>
          <w:rFonts w:ascii="inherit" w:hAnsi="inherit"/>
          <w:color w:val="242424"/>
          <w:sz w:val="22"/>
          <w:szCs w:val="22"/>
          <w:bdr w:val="none" w:sz="0" w:space="0" w:color="auto" w:frame="1"/>
        </w:rPr>
        <w:t>” for more details.</w:t>
      </w:r>
    </w:p>
    <w:p w14:paraId="210873BF" w14:textId="77777777" w:rsidR="001D42E4" w:rsidRDefault="001D42E4" w:rsidP="001D42E4">
      <w:pPr>
        <w:pStyle w:val="xxxmsonormal"/>
        <w:shd w:val="clear" w:color="auto" w:fill="FFFFFF"/>
        <w:spacing w:before="0" w:beforeAutospacing="0" w:after="0" w:afterAutospacing="0"/>
        <w:rPr>
          <w:rFonts w:ascii="Aptos" w:hAnsi="Aptos"/>
          <w:color w:val="242424"/>
        </w:rPr>
      </w:pPr>
      <w:r>
        <w:rPr>
          <w:rFonts w:ascii="inherit" w:hAnsi="inherit"/>
          <w:b/>
          <w:bCs/>
          <w:color w:val="242424"/>
          <w:sz w:val="22"/>
          <w:szCs w:val="22"/>
          <w:bdr w:val="none" w:sz="0" w:space="0" w:color="auto" w:frame="1"/>
        </w:rPr>
        <w:t> </w:t>
      </w:r>
    </w:p>
    <w:p w14:paraId="5C4D2AF2" w14:textId="77777777" w:rsidR="001D42E4" w:rsidRDefault="001D42E4" w:rsidP="001D42E4">
      <w:pPr>
        <w:pStyle w:val="xxxmsonormal"/>
        <w:shd w:val="clear" w:color="auto" w:fill="FFFFFF"/>
        <w:spacing w:before="0" w:beforeAutospacing="0" w:after="0" w:afterAutospacing="0"/>
        <w:rPr>
          <w:rFonts w:ascii="Aptos" w:hAnsi="Aptos"/>
          <w:color w:val="242424"/>
        </w:rPr>
      </w:pPr>
      <w:r>
        <w:rPr>
          <w:rFonts w:ascii="inherit" w:hAnsi="inherit"/>
          <w:b/>
          <w:bCs/>
          <w:color w:val="242424"/>
          <w:sz w:val="22"/>
          <w:szCs w:val="22"/>
          <w:bdr w:val="none" w:sz="0" w:space="0" w:color="auto" w:frame="1"/>
        </w:rPr>
        <w:t>Required Cybersecurity Training for Wastewater Operators</w:t>
      </w:r>
    </w:p>
    <w:p w14:paraId="0E0F5378" w14:textId="2824ED22" w:rsidR="001D42E4" w:rsidRDefault="00476E48" w:rsidP="001D42E4">
      <w:pPr>
        <w:pStyle w:val="xx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Grade 1/1A and 2/2A licenses expiring on or after January 1, 2027, will require two (2) hrs. of the renewal hours to be cybersecurity related.</w:t>
      </w:r>
    </w:p>
    <w:p w14:paraId="7EAD21E9" w14:textId="6F1EC1E9" w:rsidR="001D42E4" w:rsidRPr="00476E48" w:rsidRDefault="00476E48" w:rsidP="001D42E4">
      <w:pPr>
        <w:pStyle w:val="xx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Grade 3/3A and 4/4A licenses expiring on or after January 1, 2027, will require four (4) hrs. of the renewal hours to be cybersecurity</w:t>
      </w:r>
    </w:p>
    <w:p w14:paraId="344FC3E5" w14:textId="48DF7BCE" w:rsidR="00476E48" w:rsidRPr="00476E48" w:rsidRDefault="001D42E4" w:rsidP="001D42E4">
      <w:pPr>
        <w:pStyle w:val="xxxmsonormal"/>
        <w:shd w:val="clear" w:color="auto" w:fill="FFFFFF"/>
        <w:spacing w:before="0" w:beforeAutospacing="0" w:after="0" w:afterAutospacing="0"/>
        <w:rPr>
          <w:rFonts w:ascii="Aptos" w:hAnsi="Aptos"/>
          <w:color w:val="242424"/>
        </w:rPr>
      </w:pPr>
      <w:r>
        <w:rPr>
          <w:rFonts w:ascii="inherit" w:hAnsi="inherit"/>
          <w:b/>
          <w:bCs/>
          <w:color w:val="242424"/>
          <w:sz w:val="22"/>
          <w:szCs w:val="22"/>
          <w:bdr w:val="none" w:sz="0" w:space="0" w:color="auto" w:frame="1"/>
        </w:rPr>
        <w:t> </w:t>
      </w:r>
    </w:p>
    <w:p w14:paraId="5E6F9FAD" w14:textId="62D2E208" w:rsidR="001D42E4" w:rsidRDefault="001D42E4" w:rsidP="001D42E4">
      <w:pPr>
        <w:pStyle w:val="xx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Each of the</w:t>
      </w:r>
      <w:r w:rsidR="000E0858">
        <w:rPr>
          <w:rFonts w:ascii="inherit" w:hAnsi="inherit"/>
          <w:color w:val="242424"/>
          <w:sz w:val="22"/>
          <w:szCs w:val="22"/>
          <w:bdr w:val="none" w:sz="0" w:space="0" w:color="auto" w:frame="1"/>
        </w:rPr>
        <w:t>se</w:t>
      </w:r>
      <w:r>
        <w:rPr>
          <w:rFonts w:ascii="inherit" w:hAnsi="inherit"/>
          <w:color w:val="242424"/>
          <w:sz w:val="22"/>
          <w:szCs w:val="22"/>
          <w:bdr w:val="none" w:sz="0" w:space="0" w:color="auto" w:frame="1"/>
        </w:rPr>
        <w:t xml:space="preserve"> requirements appl</w:t>
      </w:r>
      <w:r w:rsidR="000E0858">
        <w:rPr>
          <w:rFonts w:ascii="inherit" w:hAnsi="inherit"/>
          <w:color w:val="242424"/>
          <w:sz w:val="22"/>
          <w:szCs w:val="22"/>
          <w:bdr w:val="none" w:sz="0" w:space="0" w:color="auto" w:frame="1"/>
        </w:rPr>
        <w:t>y</w:t>
      </w:r>
      <w:r>
        <w:rPr>
          <w:rFonts w:ascii="inherit" w:hAnsi="inherit"/>
          <w:color w:val="242424"/>
          <w:sz w:val="22"/>
          <w:szCs w:val="22"/>
          <w:bdr w:val="none" w:sz="0" w:space="0" w:color="auto" w:frame="1"/>
        </w:rPr>
        <w:t xml:space="preserve"> only to Publicly Owned Treatment Works (POTWs). Each requirement is effective </w:t>
      </w:r>
      <w:r w:rsidRPr="000E0858">
        <w:rPr>
          <w:rFonts w:ascii="inherit" w:hAnsi="inherit"/>
          <w:b/>
          <w:bCs/>
          <w:color w:val="EE0000"/>
          <w:sz w:val="22"/>
          <w:szCs w:val="22"/>
          <w:bdr w:val="none" w:sz="0" w:space="0" w:color="auto" w:frame="1"/>
        </w:rPr>
        <w:t xml:space="preserve">March 11, </w:t>
      </w:r>
      <w:r w:rsidR="000E0858" w:rsidRPr="000E0858">
        <w:rPr>
          <w:rFonts w:ascii="inherit" w:hAnsi="inherit"/>
          <w:b/>
          <w:bCs/>
          <w:color w:val="EE0000"/>
          <w:sz w:val="22"/>
          <w:szCs w:val="22"/>
          <w:bdr w:val="none" w:sz="0" w:space="0" w:color="auto" w:frame="1"/>
        </w:rPr>
        <w:t>2027,</w:t>
      </w:r>
      <w:r w:rsidRPr="000E0858">
        <w:rPr>
          <w:rFonts w:ascii="inherit" w:hAnsi="inherit"/>
          <w:b/>
          <w:bCs/>
          <w:color w:val="EE0000"/>
          <w:sz w:val="22"/>
          <w:szCs w:val="22"/>
          <w:bdr w:val="none" w:sz="0" w:space="0" w:color="auto" w:frame="1"/>
        </w:rPr>
        <w:t> </w:t>
      </w:r>
      <w:r>
        <w:rPr>
          <w:rFonts w:ascii="inherit" w:hAnsi="inherit"/>
          <w:color w:val="242424"/>
          <w:sz w:val="22"/>
          <w:szCs w:val="22"/>
          <w:bdr w:val="none" w:sz="0" w:space="0" w:color="auto" w:frame="1"/>
        </w:rPr>
        <w:t>with first annual compliance certified on or before </w:t>
      </w:r>
      <w:r>
        <w:rPr>
          <w:rFonts w:ascii="inherit" w:hAnsi="inherit"/>
          <w:b/>
          <w:bCs/>
          <w:color w:val="242424"/>
          <w:sz w:val="22"/>
          <w:szCs w:val="22"/>
          <w:bdr w:val="none" w:sz="0" w:space="0" w:color="auto" w:frame="1"/>
        </w:rPr>
        <w:t>March 28, 2027.</w:t>
      </w:r>
    </w:p>
    <w:p w14:paraId="7B4DA3FC" w14:textId="77777777" w:rsidR="001D42E4" w:rsidRDefault="001D42E4" w:rsidP="001D42E4">
      <w:pPr>
        <w:pStyle w:val="xxxmsonormal"/>
        <w:numPr>
          <w:ilvl w:val="0"/>
          <w:numId w:val="1"/>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Emergency Response Plan (ERP) and Cybersecurity Incident Response Plan (IRP)</w:t>
      </w:r>
      <w:r>
        <w:rPr>
          <w:rFonts w:ascii="inherit" w:hAnsi="inherit" w:cs="Segoe UI"/>
          <w:color w:val="242424"/>
          <w:sz w:val="22"/>
          <w:szCs w:val="22"/>
          <w:bdr w:val="none" w:sz="0" w:space="0" w:color="auto" w:frame="1"/>
        </w:rPr>
        <w:t>: POTWs are required to use either existing plans (if certain requirements are met) or establish, maintain, and implement new plans using United States Environmental Protection Agency (EPA) templates incorporated by reference into the regulations. The cybersecurity IRP must be incorporated into the overall ERP. See 6 NYCRR 750-2.9(d) and 2.9(e)(3).</w:t>
      </w:r>
    </w:p>
    <w:p w14:paraId="6C98E937" w14:textId="77777777" w:rsidR="001D42E4" w:rsidRDefault="001D42E4" w:rsidP="001D42E4">
      <w:pPr>
        <w:pStyle w:val="xxxmsonormal"/>
        <w:numPr>
          <w:ilvl w:val="0"/>
          <w:numId w:val="1"/>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Access Control and Authentication</w:t>
      </w:r>
      <w:r>
        <w:rPr>
          <w:rFonts w:ascii="inherit" w:hAnsi="inherit" w:cs="Segoe UI"/>
          <w:color w:val="242424"/>
          <w:sz w:val="22"/>
          <w:szCs w:val="22"/>
          <w:bdr w:val="none" w:sz="0" w:space="0" w:color="auto" w:frame="1"/>
        </w:rPr>
        <w:t>: POTWs must establish, maintain, and implement written rules and/or procedures that address password security, complexity and management; disallow use of default credentials; and require multi-factor authentication (MFA) for any allowable remote access to Operational Technology (OT). See 6 NYCRR 750-2.9(e)(1)(</w:t>
      </w:r>
      <w:proofErr w:type="spellStart"/>
      <w:r>
        <w:rPr>
          <w:rFonts w:ascii="inherit" w:hAnsi="inherit" w:cs="Segoe UI"/>
          <w:color w:val="242424"/>
          <w:sz w:val="22"/>
          <w:szCs w:val="22"/>
          <w:bdr w:val="none" w:sz="0" w:space="0" w:color="auto" w:frame="1"/>
        </w:rPr>
        <w:t>i</w:t>
      </w:r>
      <w:proofErr w:type="spellEnd"/>
      <w:r>
        <w:rPr>
          <w:rFonts w:ascii="inherit" w:hAnsi="inherit" w:cs="Segoe UI"/>
          <w:color w:val="242424"/>
          <w:sz w:val="22"/>
          <w:szCs w:val="22"/>
          <w:bdr w:val="none" w:sz="0" w:space="0" w:color="auto" w:frame="1"/>
        </w:rPr>
        <w:t>).</w:t>
      </w:r>
    </w:p>
    <w:p w14:paraId="4137C7C2" w14:textId="77777777" w:rsidR="001D42E4" w:rsidRDefault="001D42E4" w:rsidP="001D42E4">
      <w:pPr>
        <w:pStyle w:val="xxxmsonormal"/>
        <w:numPr>
          <w:ilvl w:val="0"/>
          <w:numId w:val="1"/>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Vulnerability Management</w:t>
      </w:r>
      <w:r>
        <w:rPr>
          <w:rFonts w:ascii="inherit" w:hAnsi="inherit" w:cs="Segoe UI"/>
          <w:color w:val="242424"/>
          <w:sz w:val="22"/>
          <w:szCs w:val="22"/>
          <w:bdr w:val="none" w:sz="0" w:space="0" w:color="auto" w:frame="1"/>
        </w:rPr>
        <w:t>: POTWs must establish, maintain, and implement a written cybersecurity vulnerability management process that incorporates specific steps laid out in the regulation. See 6 NYCRR 750-2.9(e)(1)(ii).</w:t>
      </w:r>
    </w:p>
    <w:p w14:paraId="13F74328" w14:textId="77777777" w:rsidR="001D42E4" w:rsidRDefault="001D42E4" w:rsidP="001D42E4">
      <w:pPr>
        <w:pStyle w:val="xxxmsonormal"/>
        <w:numPr>
          <w:ilvl w:val="0"/>
          <w:numId w:val="1"/>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Secure Network Structure:</w:t>
      </w:r>
      <w:r>
        <w:rPr>
          <w:rFonts w:ascii="inherit" w:hAnsi="inherit" w:cs="Segoe UI"/>
          <w:color w:val="242424"/>
          <w:sz w:val="22"/>
          <w:szCs w:val="22"/>
          <w:bdr w:val="none" w:sz="0" w:space="0" w:color="auto" w:frame="1"/>
        </w:rPr>
        <w:t> POTWs must establish, maintain, and implement a written description of network structure that protects operational technology (OT) by separating it completely from information technology (IT) and external networks such as the internet, or by securing necessary connections using appropriate cybersecurity controls. See 6 NYCRR 750-2.9(e)(1)(iii).</w:t>
      </w:r>
    </w:p>
    <w:p w14:paraId="0FD81BAB" w14:textId="77777777" w:rsidR="001D42E4" w:rsidRDefault="001D42E4" w:rsidP="001D42E4">
      <w:pPr>
        <w:pStyle w:val="xxxmsonormal"/>
        <w:numPr>
          <w:ilvl w:val="0"/>
          <w:numId w:val="1"/>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Network Monitoring and Logging:</w:t>
      </w:r>
      <w:r>
        <w:rPr>
          <w:rFonts w:ascii="inherit" w:hAnsi="inherit" w:cs="Segoe UI"/>
          <w:color w:val="242424"/>
          <w:sz w:val="22"/>
          <w:szCs w:val="22"/>
          <w:bdr w:val="none" w:sz="0" w:space="0" w:color="auto" w:frame="1"/>
        </w:rPr>
        <w:t> POTWs with design flows 10 million gallons per day (MGD) or more, must implement network monitoring and logging, unless: 1) there is no connection between IT/external networks and OT, or 2) the only connection between OT and IT/external networks is devices that only allow, and are only capable of allowing, data to travel unidirectionally from OT. See 6 NYCRR 750-2.9(e)(2).</w:t>
      </w:r>
    </w:p>
    <w:p w14:paraId="70AA2332" w14:textId="77777777" w:rsidR="001D42E4" w:rsidRDefault="001D42E4" w:rsidP="001D42E4">
      <w:pPr>
        <w:pStyle w:val="xxxmsonormal"/>
        <w:numPr>
          <w:ilvl w:val="0"/>
          <w:numId w:val="1"/>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Documents Incorporated by Reference: </w:t>
      </w:r>
      <w:r>
        <w:rPr>
          <w:rFonts w:ascii="inherit" w:hAnsi="inherit" w:cs="Segoe UI"/>
          <w:color w:val="242424"/>
          <w:sz w:val="22"/>
          <w:szCs w:val="22"/>
          <w:bdr w:val="none" w:sz="0" w:space="0" w:color="auto" w:frame="1"/>
        </w:rPr>
        <w:t>DEC incorporated six new documents by reference into Part 750. These documents must be used by POTWs to establish, maintain, and implement the emergency response planning and cybersecurity controls required in 6 NYCRR 750-2.9(d) and (e). See 6 NYCRR 750-2.9(e)(4).</w:t>
      </w:r>
    </w:p>
    <w:p w14:paraId="399B313B" w14:textId="77777777" w:rsidR="000E0858" w:rsidRPr="000E0858" w:rsidRDefault="001D42E4" w:rsidP="001D42E4">
      <w:pPr>
        <w:pStyle w:val="xxxmsonormal"/>
        <w:numPr>
          <w:ilvl w:val="0"/>
          <w:numId w:val="1"/>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Annual Certifications</w:t>
      </w:r>
      <w:r>
        <w:rPr>
          <w:rFonts w:ascii="inherit" w:hAnsi="inherit" w:cs="Segoe UI"/>
          <w:color w:val="242424"/>
          <w:sz w:val="22"/>
          <w:szCs w:val="22"/>
          <w:bdr w:val="none" w:sz="0" w:space="0" w:color="auto" w:frame="1"/>
        </w:rPr>
        <w:t>: The </w:t>
      </w:r>
      <w:r w:rsidRPr="000E0858">
        <w:rPr>
          <w:rFonts w:ascii="inherit" w:hAnsi="inherit" w:cs="Segoe UI"/>
          <w:b/>
          <w:bCs/>
          <w:color w:val="EE0000"/>
          <w:sz w:val="22"/>
          <w:szCs w:val="22"/>
          <w:bdr w:val="none" w:sz="0" w:space="0" w:color="auto" w:frame="1"/>
        </w:rPr>
        <w:t xml:space="preserve">principal executive officer or ranking elected official (or a </w:t>
      </w:r>
      <w:r w:rsidR="000E0858" w:rsidRPr="000E0858">
        <w:rPr>
          <w:rFonts w:ascii="inherit" w:hAnsi="inherit" w:cs="Segoe UI"/>
          <w:b/>
          <w:bCs/>
          <w:color w:val="EE0000"/>
          <w:sz w:val="22"/>
          <w:szCs w:val="22"/>
          <w:bdr w:val="none" w:sz="0" w:space="0" w:color="auto" w:frame="1"/>
        </w:rPr>
        <w:t>duly authorized</w:t>
      </w:r>
      <w:r w:rsidRPr="000E0858">
        <w:rPr>
          <w:rFonts w:ascii="inherit" w:hAnsi="inherit" w:cs="Segoe UI"/>
          <w:b/>
          <w:bCs/>
          <w:color w:val="EE0000"/>
          <w:sz w:val="22"/>
          <w:szCs w:val="22"/>
          <w:bdr w:val="none" w:sz="0" w:space="0" w:color="auto" w:frame="1"/>
        </w:rPr>
        <w:t> executive-level official)</w:t>
      </w:r>
      <w:r>
        <w:rPr>
          <w:rFonts w:ascii="inherit" w:hAnsi="inherit" w:cs="Segoe UI"/>
          <w:color w:val="242424"/>
          <w:sz w:val="22"/>
          <w:szCs w:val="22"/>
          <w:bdr w:val="none" w:sz="0" w:space="0" w:color="auto" w:frame="1"/>
        </w:rPr>
        <w:t> of any municipality that is the legally responsible party (LRP) for a POTW must certify annually, by March 28</w:t>
      </w:r>
      <w:r>
        <w:rPr>
          <w:rFonts w:ascii="inherit" w:hAnsi="inherit" w:cs="Segoe UI"/>
          <w:color w:val="242424"/>
          <w:sz w:val="22"/>
          <w:szCs w:val="22"/>
          <w:bdr w:val="none" w:sz="0" w:space="0" w:color="auto" w:frame="1"/>
          <w:vertAlign w:val="superscript"/>
        </w:rPr>
        <w:t>th</w:t>
      </w:r>
      <w:r>
        <w:rPr>
          <w:rFonts w:ascii="inherit" w:hAnsi="inherit" w:cs="Segoe UI"/>
          <w:color w:val="242424"/>
          <w:sz w:val="22"/>
          <w:szCs w:val="22"/>
          <w:bdr w:val="none" w:sz="0" w:space="0" w:color="auto" w:frame="1"/>
        </w:rPr>
        <w:t>, that the POTW is complying with the provisions of the new regulation. The first required annual certifications will be due on March 28, 2027 through DEC’s </w:t>
      </w:r>
      <w:proofErr w:type="spellStart"/>
      <w:r>
        <w:rPr>
          <w:rFonts w:ascii="inherit" w:hAnsi="inherit" w:cs="Segoe UI"/>
          <w:color w:val="242424"/>
          <w:sz w:val="22"/>
          <w:szCs w:val="22"/>
          <w:bdr w:val="none" w:sz="0" w:space="0" w:color="auto" w:frame="1"/>
        </w:rPr>
        <w:fldChar w:fldCharType="begin"/>
      </w:r>
      <w:r>
        <w:rPr>
          <w:rFonts w:ascii="inherit" w:hAnsi="inherit" w:cs="Segoe UI"/>
          <w:color w:val="242424"/>
          <w:sz w:val="22"/>
          <w:szCs w:val="22"/>
          <w:bdr w:val="none" w:sz="0" w:space="0" w:color="auto" w:frame="1"/>
        </w:rPr>
        <w:instrText>HYPERLINK "https://dec.ny.gov/maps/nysdec-nform" \o "https://dec.ny.gov/maps/nysdec-nform" \t "_blank"</w:instrText>
      </w:r>
      <w:r>
        <w:rPr>
          <w:rFonts w:ascii="inherit" w:hAnsi="inherit" w:cs="Segoe UI"/>
          <w:color w:val="242424"/>
          <w:sz w:val="22"/>
          <w:szCs w:val="22"/>
          <w:bdr w:val="none" w:sz="0" w:space="0" w:color="auto" w:frame="1"/>
        </w:rPr>
      </w:r>
      <w:r>
        <w:rPr>
          <w:rFonts w:ascii="inherit" w:hAnsi="inherit" w:cs="Segoe UI"/>
          <w:color w:val="242424"/>
          <w:sz w:val="22"/>
          <w:szCs w:val="22"/>
          <w:bdr w:val="none" w:sz="0" w:space="0" w:color="auto" w:frame="1"/>
        </w:rPr>
        <w:fldChar w:fldCharType="separate"/>
      </w:r>
      <w:r>
        <w:rPr>
          <w:rStyle w:val="Hyperlink"/>
          <w:rFonts w:ascii="inherit" w:eastAsiaTheme="majorEastAsia" w:hAnsi="inherit" w:cs="Segoe UI"/>
          <w:color w:val="467886"/>
          <w:sz w:val="22"/>
          <w:szCs w:val="22"/>
          <w:bdr w:val="none" w:sz="0" w:space="0" w:color="auto" w:frame="1"/>
        </w:rPr>
        <w:t>nForm</w:t>
      </w:r>
      <w:proofErr w:type="spellEnd"/>
      <w:r>
        <w:rPr>
          <w:rStyle w:val="Hyperlink"/>
          <w:rFonts w:ascii="inherit" w:eastAsiaTheme="majorEastAsia" w:hAnsi="inherit" w:cs="Segoe UI"/>
          <w:color w:val="467886"/>
          <w:sz w:val="22"/>
          <w:szCs w:val="22"/>
          <w:bdr w:val="none" w:sz="0" w:space="0" w:color="auto" w:frame="1"/>
        </w:rPr>
        <w:t> platform</w:t>
      </w:r>
      <w:r>
        <w:rPr>
          <w:rFonts w:ascii="inherit" w:hAnsi="inherit" w:cs="Segoe UI"/>
          <w:color w:val="242424"/>
          <w:sz w:val="22"/>
          <w:szCs w:val="22"/>
          <w:bdr w:val="none" w:sz="0" w:space="0" w:color="auto" w:frame="1"/>
        </w:rPr>
        <w:fldChar w:fldCharType="end"/>
      </w:r>
      <w:r>
        <w:rPr>
          <w:rFonts w:ascii="inherit" w:hAnsi="inherit" w:cs="Segoe UI"/>
          <w:color w:val="242424"/>
          <w:sz w:val="22"/>
          <w:szCs w:val="22"/>
          <w:bdr w:val="none" w:sz="0" w:space="0" w:color="auto" w:frame="1"/>
        </w:rPr>
        <w:t>. </w:t>
      </w:r>
    </w:p>
    <w:p w14:paraId="4A151838" w14:textId="57D8F77C" w:rsidR="001D42E4" w:rsidRDefault="001D42E4" w:rsidP="000E0858">
      <w:pPr>
        <w:pStyle w:val="xxxmsonormal"/>
        <w:shd w:val="clear" w:color="auto" w:fill="FFFFFF"/>
        <w:spacing w:before="0" w:beforeAutospacing="0" w:after="0" w:afterAutospacing="0"/>
        <w:ind w:left="720"/>
        <w:rPr>
          <w:rFonts w:ascii="Aptos" w:hAnsi="Aptos" w:cs="Segoe UI"/>
          <w:color w:val="242424"/>
        </w:rPr>
      </w:pPr>
      <w:r>
        <w:rPr>
          <w:rFonts w:ascii="inherit" w:hAnsi="inherit" w:cs="Segoe UI"/>
          <w:color w:val="242424"/>
          <w:sz w:val="22"/>
          <w:szCs w:val="22"/>
          <w:bdr w:val="none" w:sz="0" w:space="0" w:color="auto" w:frame="1"/>
        </w:rPr>
        <w:t> </w:t>
      </w:r>
    </w:p>
    <w:tbl>
      <w:tblPr>
        <w:tblW w:w="0" w:type="auto"/>
        <w:tblInd w:w="360" w:type="dxa"/>
        <w:shd w:val="clear" w:color="auto" w:fill="FFFFFF"/>
        <w:tblCellMar>
          <w:left w:w="0" w:type="dxa"/>
          <w:right w:w="0" w:type="dxa"/>
        </w:tblCellMar>
        <w:tblLook w:val="04A0" w:firstRow="1" w:lastRow="0" w:firstColumn="1" w:lastColumn="0" w:noHBand="0" w:noVBand="1"/>
      </w:tblPr>
      <w:tblGrid>
        <w:gridCol w:w="3002"/>
        <w:gridCol w:w="3004"/>
        <w:gridCol w:w="2974"/>
      </w:tblGrid>
      <w:tr w:rsidR="000E0858" w:rsidRPr="000E0858" w14:paraId="52543455" w14:textId="77777777">
        <w:tc>
          <w:tcPr>
            <w:tcW w:w="3485"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2619884"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b/>
                <w:bCs/>
                <w:color w:val="000000"/>
                <w:kern w:val="0"/>
                <w:sz w:val="22"/>
                <w:szCs w:val="22"/>
                <w:bdr w:val="none" w:sz="0" w:space="0" w:color="auto" w:frame="1"/>
                <w14:ligatures w14:val="none"/>
              </w:rPr>
              <w:lastRenderedPageBreak/>
              <w:t>Requirement</w:t>
            </w:r>
          </w:p>
        </w:tc>
        <w:tc>
          <w:tcPr>
            <w:tcW w:w="348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24EFAD"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b/>
                <w:bCs/>
                <w:color w:val="000000"/>
                <w:kern w:val="0"/>
                <w:sz w:val="22"/>
                <w:szCs w:val="22"/>
                <w:bdr w:val="none" w:sz="0" w:space="0" w:color="auto" w:frame="1"/>
                <w14:ligatures w14:val="none"/>
              </w:rPr>
              <w:t>Applicability</w:t>
            </w:r>
          </w:p>
        </w:tc>
        <w:tc>
          <w:tcPr>
            <w:tcW w:w="346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50B6CA7"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b/>
                <w:bCs/>
                <w:color w:val="000000"/>
                <w:kern w:val="0"/>
                <w:sz w:val="22"/>
                <w:szCs w:val="22"/>
                <w:bdr w:val="none" w:sz="0" w:space="0" w:color="auto" w:frame="1"/>
                <w14:ligatures w14:val="none"/>
              </w:rPr>
              <w:t>Effective Date</w:t>
            </w:r>
          </w:p>
        </w:tc>
      </w:tr>
      <w:tr w:rsidR="000E0858" w:rsidRPr="000E0858" w14:paraId="6ECFBA5F" w14:textId="77777777">
        <w:tc>
          <w:tcPr>
            <w:tcW w:w="34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688FDA"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Mandatory Cybersecurity Incident Reporting</w:t>
            </w:r>
          </w:p>
        </w:tc>
        <w:tc>
          <w:tcPr>
            <w:tcW w:w="3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63520B"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All SPDES Permittees (publicly owned and privately owned)</w:t>
            </w:r>
          </w:p>
        </w:tc>
        <w:tc>
          <w:tcPr>
            <w:tcW w:w="3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4F6482"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March 26, 2026</w:t>
            </w:r>
          </w:p>
        </w:tc>
      </w:tr>
      <w:tr w:rsidR="000E0858" w:rsidRPr="000E0858" w14:paraId="50EBECB4" w14:textId="77777777">
        <w:tc>
          <w:tcPr>
            <w:tcW w:w="34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2DC4F9"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Cybersecurity Training</w:t>
            </w:r>
          </w:p>
        </w:tc>
        <w:tc>
          <w:tcPr>
            <w:tcW w:w="3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EA650B"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NYS-certified Wastewater Operators</w:t>
            </w:r>
          </w:p>
        </w:tc>
        <w:tc>
          <w:tcPr>
            <w:tcW w:w="3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330FA4"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All certificates that expire on or after January 1, 2027</w:t>
            </w:r>
          </w:p>
        </w:tc>
      </w:tr>
      <w:tr w:rsidR="000E0858" w:rsidRPr="000E0858" w14:paraId="221B8B92" w14:textId="77777777">
        <w:tc>
          <w:tcPr>
            <w:tcW w:w="34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E4A556"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Emergency Response Plan (ERP) with Cybersecurity Incident Response Plan (IRP) incorporated</w:t>
            </w:r>
          </w:p>
        </w:tc>
        <w:tc>
          <w:tcPr>
            <w:tcW w:w="3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A795F5"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All POTWs</w:t>
            </w:r>
          </w:p>
        </w:tc>
        <w:tc>
          <w:tcPr>
            <w:tcW w:w="3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3096F1"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March 11, 2027</w:t>
            </w:r>
          </w:p>
        </w:tc>
      </w:tr>
      <w:tr w:rsidR="000E0858" w:rsidRPr="000E0858" w14:paraId="6D73668F" w14:textId="77777777">
        <w:tc>
          <w:tcPr>
            <w:tcW w:w="34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C628B9"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Written rules and/or procedures for access control and authentication</w:t>
            </w:r>
          </w:p>
        </w:tc>
        <w:tc>
          <w:tcPr>
            <w:tcW w:w="3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14FC06"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All POTWs</w:t>
            </w:r>
          </w:p>
        </w:tc>
        <w:tc>
          <w:tcPr>
            <w:tcW w:w="3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156293"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March 11, 2027</w:t>
            </w:r>
          </w:p>
        </w:tc>
      </w:tr>
      <w:tr w:rsidR="000E0858" w:rsidRPr="000E0858" w14:paraId="00196021" w14:textId="77777777">
        <w:tc>
          <w:tcPr>
            <w:tcW w:w="34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326EE3"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Written cybersecurity vulnerability management process (including cyber asset inventory)</w:t>
            </w:r>
          </w:p>
        </w:tc>
        <w:tc>
          <w:tcPr>
            <w:tcW w:w="3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D4ECE1"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All POTWs</w:t>
            </w:r>
          </w:p>
        </w:tc>
        <w:tc>
          <w:tcPr>
            <w:tcW w:w="3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905BAB"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March 11, 2027</w:t>
            </w:r>
          </w:p>
        </w:tc>
      </w:tr>
      <w:tr w:rsidR="000E0858" w:rsidRPr="000E0858" w14:paraId="0AA8C1F9" w14:textId="77777777">
        <w:tc>
          <w:tcPr>
            <w:tcW w:w="34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897D85"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Network Monitoring and Logging</w:t>
            </w:r>
          </w:p>
        </w:tc>
        <w:tc>
          <w:tcPr>
            <w:tcW w:w="3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A1459C"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POTWs with a design flow of greater than or equal to 10 million gallons per day (MGD)</w:t>
            </w:r>
          </w:p>
        </w:tc>
        <w:tc>
          <w:tcPr>
            <w:tcW w:w="3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F86789"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March 11, 2027</w:t>
            </w:r>
          </w:p>
        </w:tc>
      </w:tr>
      <w:tr w:rsidR="000E0858" w:rsidRPr="000E0858" w14:paraId="12BEA7AA" w14:textId="77777777">
        <w:tc>
          <w:tcPr>
            <w:tcW w:w="34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2620B6"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Documents Incorporated by Reference</w:t>
            </w:r>
          </w:p>
        </w:tc>
        <w:tc>
          <w:tcPr>
            <w:tcW w:w="3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C1A2E2"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All POTWs</w:t>
            </w:r>
          </w:p>
        </w:tc>
        <w:tc>
          <w:tcPr>
            <w:tcW w:w="3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29DDC"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March 26, 2026 (to be used in establishment of cyber controls due on March 11, 2027)</w:t>
            </w:r>
          </w:p>
        </w:tc>
      </w:tr>
      <w:tr w:rsidR="000E0858" w:rsidRPr="000E0858" w14:paraId="118B9B3F" w14:textId="77777777">
        <w:tc>
          <w:tcPr>
            <w:tcW w:w="34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32D4B6"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Two Annual Certifications (one for ERP and one for all cyber controls)</w:t>
            </w:r>
          </w:p>
        </w:tc>
        <w:tc>
          <w:tcPr>
            <w:tcW w:w="3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172D8C"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Principal executive officer or ranking elected official of any municipality that is the legally responsible party for a POTW, or an executive level municipal official that is a duly authorized representative of that person</w:t>
            </w:r>
          </w:p>
        </w:tc>
        <w:tc>
          <w:tcPr>
            <w:tcW w:w="3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3B2F1E" w14:textId="77777777" w:rsidR="000E0858" w:rsidRPr="000E0858" w:rsidRDefault="000E0858" w:rsidP="000E0858">
            <w:pPr>
              <w:spacing w:after="0" w:line="240" w:lineRule="auto"/>
              <w:rPr>
                <w:rFonts w:ascii="Aptos" w:eastAsia="Times New Roman" w:hAnsi="Aptos" w:cs="Segoe UI"/>
                <w:color w:val="242424"/>
                <w:kern w:val="0"/>
                <w14:ligatures w14:val="none"/>
              </w:rPr>
            </w:pPr>
            <w:r w:rsidRPr="000E0858">
              <w:rPr>
                <w:rFonts w:ascii="inherit" w:eastAsia="Times New Roman" w:hAnsi="inherit" w:cs="Segoe UI"/>
                <w:color w:val="242424"/>
                <w:kern w:val="0"/>
                <w:sz w:val="22"/>
                <w:szCs w:val="22"/>
                <w:bdr w:val="none" w:sz="0" w:space="0" w:color="auto" w:frame="1"/>
                <w14:ligatures w14:val="none"/>
              </w:rPr>
              <w:t>March 28, 2027</w:t>
            </w:r>
          </w:p>
        </w:tc>
      </w:tr>
    </w:tbl>
    <w:p w14:paraId="509340C7" w14:textId="77777777" w:rsidR="00D27232" w:rsidRDefault="00D27232"/>
    <w:p w14:paraId="320DB635" w14:textId="77777777" w:rsidR="00CA7EE9" w:rsidRDefault="00CA7EE9"/>
    <w:p w14:paraId="28A8E024" w14:textId="77777777" w:rsidR="00CA7EE9" w:rsidRPr="00CA7EE9" w:rsidRDefault="00CA7EE9" w:rsidP="00CA7EE9">
      <w:pPr>
        <w:shd w:val="clear" w:color="auto" w:fill="FFFFFF"/>
        <w:spacing w:after="0" w:line="240" w:lineRule="auto"/>
        <w:rPr>
          <w:rFonts w:ascii="Aptos" w:eastAsia="Times New Roman" w:hAnsi="Aptos" w:cs="Times New Roman"/>
          <w:color w:val="242424"/>
          <w:kern w:val="0"/>
          <w14:ligatures w14:val="none"/>
        </w:rPr>
      </w:pPr>
      <w:r w:rsidRPr="00CA7EE9">
        <w:rPr>
          <w:rFonts w:ascii="inherit" w:eastAsia="Times New Roman" w:hAnsi="inherit" w:cs="Times New Roman"/>
          <w:b/>
          <w:bCs/>
          <w:color w:val="242424"/>
          <w:kern w:val="0"/>
          <w:sz w:val="22"/>
          <w:szCs w:val="22"/>
          <w:bdr w:val="none" w:sz="0" w:space="0" w:color="auto" w:frame="1"/>
          <w14:ligatures w14:val="none"/>
        </w:rPr>
        <w:t>Cybersecurity Grant Opportunity</w:t>
      </w:r>
      <w:r w:rsidRPr="00CA7EE9">
        <w:rPr>
          <w:rFonts w:ascii="inherit" w:eastAsia="Times New Roman" w:hAnsi="inherit" w:cs="Times New Roman"/>
          <w:color w:val="242424"/>
          <w:kern w:val="0"/>
          <w:sz w:val="22"/>
          <w:szCs w:val="22"/>
          <w:bdr w:val="none" w:sz="0" w:space="0" w:color="auto" w:frame="1"/>
          <w14:ligatures w14:val="none"/>
        </w:rPr>
        <w:t> </w:t>
      </w:r>
    </w:p>
    <w:p w14:paraId="71AB93AD" w14:textId="77777777" w:rsidR="00CA7EE9" w:rsidRPr="00CA7EE9" w:rsidRDefault="00CA7EE9" w:rsidP="00CA7EE9">
      <w:pPr>
        <w:shd w:val="clear" w:color="auto" w:fill="FFFFFF"/>
        <w:spacing w:after="0" w:line="240" w:lineRule="auto"/>
        <w:rPr>
          <w:rFonts w:ascii="Aptos" w:eastAsia="Times New Roman" w:hAnsi="Aptos" w:cs="Times New Roman"/>
          <w:color w:val="242424"/>
          <w:kern w:val="0"/>
          <w14:ligatures w14:val="none"/>
        </w:rPr>
      </w:pPr>
      <w:r w:rsidRPr="00CA7EE9">
        <w:rPr>
          <w:rFonts w:ascii="inherit" w:eastAsia="Times New Roman" w:hAnsi="inherit" w:cs="Times New Roman"/>
          <w:color w:val="242424"/>
          <w:kern w:val="0"/>
          <w:sz w:val="22"/>
          <w:szCs w:val="22"/>
          <w:bdr w:val="none" w:sz="0" w:space="0" w:color="auto" w:frame="1"/>
          <w14:ligatures w14:val="none"/>
        </w:rPr>
        <w:t> </w:t>
      </w:r>
    </w:p>
    <w:p w14:paraId="5E4D4271" w14:textId="77777777" w:rsidR="00CA7EE9" w:rsidRPr="00CA7EE9" w:rsidRDefault="00CA7EE9" w:rsidP="00CA7EE9">
      <w:pPr>
        <w:shd w:val="clear" w:color="auto" w:fill="FFFFFF"/>
        <w:spacing w:after="0" w:line="240" w:lineRule="auto"/>
        <w:rPr>
          <w:rFonts w:ascii="Aptos" w:eastAsia="Times New Roman" w:hAnsi="Aptos" w:cs="Times New Roman"/>
          <w:color w:val="242424"/>
          <w:kern w:val="0"/>
          <w14:ligatures w14:val="none"/>
        </w:rPr>
      </w:pPr>
      <w:r w:rsidRPr="00CA7EE9">
        <w:rPr>
          <w:rFonts w:ascii="inherit" w:eastAsia="Times New Roman" w:hAnsi="inherit" w:cs="Times New Roman"/>
          <w:color w:val="242424"/>
          <w:kern w:val="0"/>
          <w:sz w:val="22"/>
          <w:szCs w:val="22"/>
          <w:bdr w:val="none" w:sz="0" w:space="0" w:color="auto" w:frame="1"/>
          <w14:ligatures w14:val="none"/>
        </w:rPr>
        <w:t>To support implementation, Governor Hochul is launching the new $2.5 million Strengthening Essential Cybersecurity for Utilities and Resiliency Enhancements (SECURE) grant program, administered by EFC. Applications open today. Funding includes:</w:t>
      </w:r>
    </w:p>
    <w:p w14:paraId="54FAC6C9" w14:textId="77777777" w:rsidR="00CA7EE9" w:rsidRPr="00CA7EE9" w:rsidRDefault="00CA7EE9" w:rsidP="00CA7EE9">
      <w:pPr>
        <w:numPr>
          <w:ilvl w:val="0"/>
          <w:numId w:val="2"/>
        </w:numPr>
        <w:shd w:val="clear" w:color="auto" w:fill="FFFFFF"/>
        <w:spacing w:after="0" w:line="240" w:lineRule="auto"/>
        <w:rPr>
          <w:rFonts w:ascii="Aptos" w:eastAsia="Times New Roman" w:hAnsi="Aptos" w:cs="Segoe UI"/>
          <w:color w:val="242424"/>
          <w:kern w:val="0"/>
          <w14:ligatures w14:val="none"/>
        </w:rPr>
      </w:pPr>
      <w:r w:rsidRPr="00CA7EE9">
        <w:rPr>
          <w:rFonts w:ascii="inherit" w:eastAsia="Times New Roman" w:hAnsi="inherit" w:cs="Segoe UI"/>
          <w:color w:val="242424"/>
          <w:kern w:val="0"/>
          <w:sz w:val="22"/>
          <w:szCs w:val="22"/>
          <w:bdr w:val="none" w:sz="0" w:space="0" w:color="auto" w:frame="1"/>
          <w14:ligatures w14:val="none"/>
        </w:rPr>
        <w:t>Up to $50,000 for cybersecurity assessments</w:t>
      </w:r>
    </w:p>
    <w:p w14:paraId="33A8EFC7" w14:textId="77777777" w:rsidR="00CA7EE9" w:rsidRPr="00CA7EE9" w:rsidRDefault="00CA7EE9" w:rsidP="00CA7EE9">
      <w:pPr>
        <w:numPr>
          <w:ilvl w:val="0"/>
          <w:numId w:val="2"/>
        </w:numPr>
        <w:shd w:val="clear" w:color="auto" w:fill="FFFFFF"/>
        <w:spacing w:after="0" w:line="240" w:lineRule="auto"/>
        <w:rPr>
          <w:rFonts w:ascii="Aptos" w:eastAsia="Times New Roman" w:hAnsi="Aptos" w:cs="Segoe UI"/>
          <w:color w:val="242424"/>
          <w:kern w:val="0"/>
          <w14:ligatures w14:val="none"/>
        </w:rPr>
      </w:pPr>
      <w:r w:rsidRPr="00CA7EE9">
        <w:rPr>
          <w:rFonts w:ascii="inherit" w:eastAsia="Times New Roman" w:hAnsi="inherit" w:cs="Segoe UI"/>
          <w:color w:val="242424"/>
          <w:kern w:val="0"/>
          <w:sz w:val="22"/>
          <w:szCs w:val="22"/>
          <w:bdr w:val="none" w:sz="0" w:space="0" w:color="auto" w:frame="1"/>
          <w14:ligatures w14:val="none"/>
        </w:rPr>
        <w:t>Up to $100,000 to implement cybersecurity upgrades</w:t>
      </w:r>
    </w:p>
    <w:p w14:paraId="73036833" w14:textId="77777777" w:rsidR="00CA7EE9" w:rsidRPr="00CA7EE9" w:rsidRDefault="00CA7EE9" w:rsidP="00CA7EE9">
      <w:pPr>
        <w:shd w:val="clear" w:color="auto" w:fill="FFFFFF"/>
        <w:spacing w:after="0" w:line="240" w:lineRule="auto"/>
        <w:rPr>
          <w:rFonts w:ascii="Aptos" w:eastAsia="Times New Roman" w:hAnsi="Aptos" w:cs="Times New Roman"/>
          <w:color w:val="242424"/>
          <w:kern w:val="0"/>
          <w14:ligatures w14:val="none"/>
        </w:rPr>
      </w:pPr>
      <w:r w:rsidRPr="00CA7EE9">
        <w:rPr>
          <w:rFonts w:ascii="inherit" w:eastAsia="Times New Roman" w:hAnsi="inherit" w:cs="Times New Roman"/>
          <w:color w:val="242424"/>
          <w:kern w:val="0"/>
          <w:sz w:val="22"/>
          <w:szCs w:val="22"/>
          <w:bdr w:val="none" w:sz="0" w:space="0" w:color="auto" w:frame="1"/>
          <w14:ligatures w14:val="none"/>
        </w:rPr>
        <w:t>EFC’s Community Assistance Teams are available to provide no-cost guidance and tools to help water and wastewater systems implement cybersecurity best practices. Communities can request one-on-one consultations, apply for the SECURE grant, and access centralized training and best practice resources on EFC’s </w:t>
      </w:r>
      <w:hyperlink r:id="rId5" w:tgtFrame="_blank" w:tooltip="https://efc.ny.gov/cybersecurity-hub" w:history="1">
        <w:r w:rsidRPr="00CA7EE9">
          <w:rPr>
            <w:rFonts w:ascii="inherit" w:eastAsia="Times New Roman" w:hAnsi="inherit" w:cs="Times New Roman"/>
            <w:color w:val="467886"/>
            <w:kern w:val="0"/>
            <w:sz w:val="22"/>
            <w:szCs w:val="22"/>
            <w:u w:val="single"/>
            <w:bdr w:val="none" w:sz="0" w:space="0" w:color="auto" w:frame="1"/>
            <w14:ligatures w14:val="none"/>
          </w:rPr>
          <w:t>Cybersecurity Hub</w:t>
        </w:r>
      </w:hyperlink>
      <w:r w:rsidRPr="00CA7EE9">
        <w:rPr>
          <w:rFonts w:ascii="inherit" w:eastAsia="Times New Roman" w:hAnsi="inherit" w:cs="Times New Roman"/>
          <w:color w:val="242424"/>
          <w:kern w:val="0"/>
          <w:sz w:val="22"/>
          <w:szCs w:val="22"/>
          <w:bdr w:val="none" w:sz="0" w:space="0" w:color="auto" w:frame="1"/>
          <w14:ligatures w14:val="none"/>
        </w:rPr>
        <w:t>.</w:t>
      </w:r>
    </w:p>
    <w:p w14:paraId="3ED38487" w14:textId="77777777" w:rsidR="00CA7EE9" w:rsidRDefault="00CA7EE9"/>
    <w:sectPr w:rsidR="00CA7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6934"/>
    <w:multiLevelType w:val="multilevel"/>
    <w:tmpl w:val="60F6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CE5C70"/>
    <w:multiLevelType w:val="multilevel"/>
    <w:tmpl w:val="DEEE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324852">
    <w:abstractNumId w:val="1"/>
  </w:num>
  <w:num w:numId="2" w16cid:durableId="1198153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E4"/>
    <w:rsid w:val="000E0858"/>
    <w:rsid w:val="0015053E"/>
    <w:rsid w:val="001D42E4"/>
    <w:rsid w:val="00476E48"/>
    <w:rsid w:val="00564C21"/>
    <w:rsid w:val="00716841"/>
    <w:rsid w:val="00C629A7"/>
    <w:rsid w:val="00CA24F9"/>
    <w:rsid w:val="00CA7EE9"/>
    <w:rsid w:val="00D27232"/>
    <w:rsid w:val="00E6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F947"/>
  <w15:chartTrackingRefBased/>
  <w15:docId w15:val="{725074C6-29BC-4EDB-99E4-71A9067D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2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2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2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2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2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2E4"/>
    <w:rPr>
      <w:rFonts w:eastAsiaTheme="majorEastAsia" w:cstheme="majorBidi"/>
      <w:color w:val="272727" w:themeColor="text1" w:themeTint="D8"/>
    </w:rPr>
  </w:style>
  <w:style w:type="paragraph" w:styleId="Title">
    <w:name w:val="Title"/>
    <w:basedOn w:val="Normal"/>
    <w:next w:val="Normal"/>
    <w:link w:val="TitleChar"/>
    <w:uiPriority w:val="10"/>
    <w:qFormat/>
    <w:rsid w:val="001D4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2E4"/>
    <w:pPr>
      <w:spacing w:before="160"/>
      <w:jc w:val="center"/>
    </w:pPr>
    <w:rPr>
      <w:i/>
      <w:iCs/>
      <w:color w:val="404040" w:themeColor="text1" w:themeTint="BF"/>
    </w:rPr>
  </w:style>
  <w:style w:type="character" w:customStyle="1" w:styleId="QuoteChar">
    <w:name w:val="Quote Char"/>
    <w:basedOn w:val="DefaultParagraphFont"/>
    <w:link w:val="Quote"/>
    <w:uiPriority w:val="29"/>
    <w:rsid w:val="001D42E4"/>
    <w:rPr>
      <w:i/>
      <w:iCs/>
      <w:color w:val="404040" w:themeColor="text1" w:themeTint="BF"/>
    </w:rPr>
  </w:style>
  <w:style w:type="paragraph" w:styleId="ListParagraph">
    <w:name w:val="List Paragraph"/>
    <w:basedOn w:val="Normal"/>
    <w:uiPriority w:val="34"/>
    <w:qFormat/>
    <w:rsid w:val="001D42E4"/>
    <w:pPr>
      <w:ind w:left="720"/>
      <w:contextualSpacing/>
    </w:pPr>
  </w:style>
  <w:style w:type="character" w:styleId="IntenseEmphasis">
    <w:name w:val="Intense Emphasis"/>
    <w:basedOn w:val="DefaultParagraphFont"/>
    <w:uiPriority w:val="21"/>
    <w:qFormat/>
    <w:rsid w:val="001D42E4"/>
    <w:rPr>
      <w:i/>
      <w:iCs/>
      <w:color w:val="0F4761" w:themeColor="accent1" w:themeShade="BF"/>
    </w:rPr>
  </w:style>
  <w:style w:type="paragraph" w:styleId="IntenseQuote">
    <w:name w:val="Intense Quote"/>
    <w:basedOn w:val="Normal"/>
    <w:next w:val="Normal"/>
    <w:link w:val="IntenseQuoteChar"/>
    <w:uiPriority w:val="30"/>
    <w:qFormat/>
    <w:rsid w:val="001D4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2E4"/>
    <w:rPr>
      <w:i/>
      <w:iCs/>
      <w:color w:val="0F4761" w:themeColor="accent1" w:themeShade="BF"/>
    </w:rPr>
  </w:style>
  <w:style w:type="character" w:styleId="IntenseReference">
    <w:name w:val="Intense Reference"/>
    <w:basedOn w:val="DefaultParagraphFont"/>
    <w:uiPriority w:val="32"/>
    <w:qFormat/>
    <w:rsid w:val="001D42E4"/>
    <w:rPr>
      <w:b/>
      <w:bCs/>
      <w:smallCaps/>
      <w:color w:val="0F4761" w:themeColor="accent1" w:themeShade="BF"/>
      <w:spacing w:val="5"/>
    </w:rPr>
  </w:style>
  <w:style w:type="paragraph" w:customStyle="1" w:styleId="xxxmsonormal">
    <w:name w:val="x_x_xmsonormal"/>
    <w:basedOn w:val="Normal"/>
    <w:rsid w:val="001D42E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D42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fc.ny.gov/cybersecurity-hu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Grimm</dc:creator>
  <cp:keywords/>
  <dc:description/>
  <cp:lastModifiedBy>Steven Grimm</cp:lastModifiedBy>
  <cp:revision>4</cp:revision>
  <dcterms:created xsi:type="dcterms:W3CDTF">2026-03-18T16:48:00Z</dcterms:created>
  <dcterms:modified xsi:type="dcterms:W3CDTF">2026-03-18T17:32:00Z</dcterms:modified>
</cp:coreProperties>
</file>